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9A" w:rsidRPr="007D206C" w:rsidRDefault="0048599A" w:rsidP="0048599A">
      <w:pPr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Конвенция об урегулировании инвестиционных споров между государствами и</w:t>
      </w:r>
      <w:r w:rsidRPr="007D206C">
        <w:rPr>
          <w:rFonts w:ascii="Verdana" w:hAnsi="Verdana"/>
          <w:sz w:val="24"/>
          <w:szCs w:val="24"/>
        </w:rPr>
        <w:t xml:space="preserve"> </w:t>
      </w:r>
    </w:p>
    <w:p w:rsidR="0048599A" w:rsidRPr="007D206C" w:rsidRDefault="0048599A" w:rsidP="0048599A">
      <w:pPr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физическими или юридическими лицами других государств</w:t>
      </w:r>
      <w:r w:rsidRPr="007D206C">
        <w:rPr>
          <w:rFonts w:ascii="Verdana" w:hAnsi="Verdana"/>
          <w:sz w:val="24"/>
          <w:szCs w:val="24"/>
        </w:rPr>
        <w:t xml:space="preserve"> </w:t>
      </w:r>
    </w:p>
    <w:p w:rsidR="0048599A" w:rsidRPr="007D206C" w:rsidRDefault="0048599A" w:rsidP="0048599A">
      <w:pPr>
        <w:jc w:val="center"/>
        <w:rPr>
          <w:rFonts w:ascii="Verdana" w:hAnsi="Verdana"/>
          <w:sz w:val="24"/>
          <w:szCs w:val="24"/>
          <w:lang w:val="en-US"/>
        </w:rPr>
      </w:pPr>
      <w:r w:rsidRPr="007D206C">
        <w:rPr>
          <w:rStyle w:val="s1"/>
          <w:rFonts w:ascii="Verdana" w:hAnsi="Verdana"/>
          <w:color w:val="auto"/>
          <w:sz w:val="24"/>
          <w:szCs w:val="24"/>
          <w:lang w:val="en-US"/>
        </w:rPr>
        <w:t>International Centre for Settlement of Investment Disputes</w:t>
      </w:r>
      <w:r w:rsidRPr="007D206C">
        <w:rPr>
          <w:rFonts w:ascii="Verdana" w:hAnsi="Verdana"/>
          <w:sz w:val="24"/>
          <w:szCs w:val="24"/>
          <w:lang w:val="en-US"/>
        </w:rPr>
        <w:t xml:space="preserve"> </w:t>
      </w:r>
    </w:p>
    <w:p w:rsidR="0048599A" w:rsidRPr="007D206C" w:rsidRDefault="0048599A" w:rsidP="0048599A">
      <w:pPr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(ICSID)</w:t>
      </w:r>
      <w:r w:rsidRPr="007D206C">
        <w:rPr>
          <w:rFonts w:ascii="Verdana" w:hAnsi="Verdana"/>
          <w:sz w:val="24"/>
          <w:szCs w:val="24"/>
        </w:rPr>
        <w:t xml:space="preserve"> </w:t>
      </w:r>
    </w:p>
    <w:p w:rsidR="0048599A" w:rsidRPr="007D206C" w:rsidRDefault="0048599A" w:rsidP="0048599A">
      <w:pPr>
        <w:spacing w:after="240"/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 xml:space="preserve">(Вашингтон, 18 марта </w:t>
      </w:r>
      <w:smartTag w:uri="urn:schemas-microsoft-com:office:smarttags" w:element="metricconverter">
        <w:smartTagPr>
          <w:attr w:name="ProductID" w:val="1965 г"/>
        </w:smartTagPr>
        <w:r w:rsidRPr="007D206C">
          <w:rPr>
            <w:rStyle w:val="s1"/>
            <w:rFonts w:ascii="Verdana" w:hAnsi="Verdana"/>
            <w:color w:val="auto"/>
            <w:sz w:val="24"/>
            <w:szCs w:val="24"/>
          </w:rPr>
          <w:t>1965 г</w:t>
        </w:r>
      </w:smartTag>
      <w:r w:rsidRPr="007D206C">
        <w:rPr>
          <w:rStyle w:val="s1"/>
          <w:rFonts w:ascii="Verdana" w:hAnsi="Verdana"/>
          <w:color w:val="auto"/>
          <w:sz w:val="24"/>
          <w:szCs w:val="24"/>
        </w:rPr>
        <w:t>.)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Style w:val="s3"/>
          <w:rFonts w:ascii="Verdana" w:hAnsi="Verdana"/>
          <w:color w:val="auto"/>
          <w:sz w:val="24"/>
          <w:szCs w:val="24"/>
        </w:rPr>
        <w:t xml:space="preserve">Настоящая Конвенция ратифицирована Республикой Казахстан </w:t>
      </w:r>
      <w:bookmarkStart w:id="0" w:name="sub1000013235"/>
      <w:r w:rsidR="00A72D9A" w:rsidRPr="007D206C">
        <w:rPr>
          <w:rStyle w:val="s3"/>
          <w:rFonts w:ascii="Verdana" w:hAnsi="Verdana"/>
          <w:color w:val="auto"/>
          <w:sz w:val="24"/>
          <w:szCs w:val="24"/>
        </w:rPr>
        <w:fldChar w:fldCharType="begin"/>
      </w:r>
      <w:r w:rsidRPr="007D206C">
        <w:rPr>
          <w:rStyle w:val="s3"/>
          <w:rFonts w:ascii="Verdana" w:hAnsi="Verdana"/>
          <w:color w:val="auto"/>
          <w:sz w:val="24"/>
          <w:szCs w:val="24"/>
        </w:rPr>
        <w:instrText xml:space="preserve"> HYPERLINK "jl:1049276.0 " </w:instrText>
      </w:r>
      <w:r w:rsidR="00A72D9A" w:rsidRPr="007D206C">
        <w:rPr>
          <w:rStyle w:val="s3"/>
          <w:rFonts w:ascii="Verdana" w:hAnsi="Verdana"/>
          <w:color w:val="auto"/>
          <w:sz w:val="24"/>
          <w:szCs w:val="24"/>
        </w:rPr>
        <w:fldChar w:fldCharType="separate"/>
      </w:r>
      <w:r w:rsidRPr="007D206C">
        <w:rPr>
          <w:rStyle w:val="a3"/>
          <w:rFonts w:ascii="Verdana" w:hAnsi="Verdana"/>
          <w:b/>
          <w:bCs/>
          <w:color w:val="auto"/>
          <w:sz w:val="24"/>
          <w:szCs w:val="24"/>
        </w:rPr>
        <w:t>Законом</w:t>
      </w:r>
      <w:r w:rsidR="00A72D9A" w:rsidRPr="007D206C">
        <w:rPr>
          <w:rStyle w:val="s3"/>
          <w:rFonts w:ascii="Verdana" w:hAnsi="Verdana"/>
          <w:color w:val="auto"/>
          <w:sz w:val="24"/>
          <w:szCs w:val="24"/>
        </w:rPr>
        <w:fldChar w:fldCharType="end"/>
      </w:r>
      <w:bookmarkEnd w:id="0"/>
      <w:r w:rsidRPr="007D206C">
        <w:rPr>
          <w:rStyle w:val="s3"/>
          <w:rFonts w:ascii="Verdana" w:hAnsi="Verdana"/>
          <w:color w:val="auto"/>
          <w:sz w:val="24"/>
          <w:szCs w:val="24"/>
        </w:rPr>
        <w:t xml:space="preserve"> РК от 09.07.04 г. N 589-II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Style w:val="s3"/>
          <w:rFonts w:ascii="Verdana" w:hAnsi="Verdana"/>
          <w:color w:val="auto"/>
          <w:sz w:val="24"/>
          <w:szCs w:val="24"/>
        </w:rPr>
        <w:t>Вступила в силу 20 июля 2004 года</w:t>
      </w:r>
    </w:p>
    <w:p w:rsidR="0048599A" w:rsidRPr="007D206C" w:rsidRDefault="0048599A" w:rsidP="0048599A">
      <w:pPr>
        <w:spacing w:after="240"/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Преамбула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Договаривающиеся Государства,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учитывая необходимость международного сотрудничества для целей экономического развития и ту роль, которая принадлежит в этой области частным международным инвестициям,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имея в виду вероятность того, что время от времени между Договаривающимися Государствами и физическими или юридическими лицами других Договаривающихся Государств могут возникать споры в связи с такими инвестициями,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признавая, что, хотя </w:t>
      </w:r>
      <w:r w:rsidRPr="005302BC">
        <w:rPr>
          <w:rFonts w:ascii="Verdana" w:hAnsi="Verdana"/>
          <w:sz w:val="24"/>
          <w:szCs w:val="24"/>
          <w:highlight w:val="yellow"/>
          <w:u w:val="single"/>
        </w:rPr>
        <w:t>в отношении таких споров обычно применяются национальные юридические процедуры</w:t>
      </w:r>
      <w:r w:rsidRPr="007D206C">
        <w:rPr>
          <w:rFonts w:ascii="Verdana" w:hAnsi="Verdana"/>
          <w:sz w:val="24"/>
          <w:szCs w:val="24"/>
        </w:rPr>
        <w:t xml:space="preserve">, в определенных случаях могут оказаться подходящими международные методы урегулирования,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5302BC">
        <w:rPr>
          <w:rFonts w:ascii="Verdana" w:hAnsi="Verdana"/>
          <w:sz w:val="24"/>
          <w:szCs w:val="24"/>
          <w:highlight w:val="yellow"/>
          <w:u w:val="single"/>
        </w:rPr>
        <w:t>придавая особое значение наличию структур для международного примирения и арбитража</w:t>
      </w:r>
      <w:r w:rsidRPr="007D206C">
        <w:rPr>
          <w:rFonts w:ascii="Verdana" w:hAnsi="Verdana"/>
          <w:sz w:val="24"/>
          <w:szCs w:val="24"/>
        </w:rPr>
        <w:t xml:space="preserve">, в которые Договаривающиеся Государства и физические или юридические лица других Договаривающихся Государств могли бы передавать такие споры, если они того пожелают,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желая создать такие структуры под эгидой Международного банка реконструкции и развития,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признавая, что взаимное согласие сторон передать такие споры на примирение или арбитраж с использованием таких структур представляет собой обязательное соглашение, которое требует, в частности, чтобы рекомендации примирителей должным образом учитывались, а арбитражные решения выполнялись,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заявляя, что ни одно Договаривающееся Государство в силу одного лишь факта ратификации, принятия или одобрения настоящей </w:t>
      </w:r>
      <w:r w:rsidRPr="007D206C">
        <w:rPr>
          <w:rFonts w:ascii="Verdana" w:hAnsi="Verdana"/>
          <w:sz w:val="24"/>
          <w:szCs w:val="24"/>
        </w:rPr>
        <w:lastRenderedPageBreak/>
        <w:t xml:space="preserve">Конвенции и без его согласия не будет считаться взявшим на себя обязательство передать какой-либо конкретный спор на примирение или арбитраж, </w:t>
      </w:r>
    </w:p>
    <w:p w:rsidR="0048599A" w:rsidRDefault="0048599A" w:rsidP="0048599A">
      <w:pPr>
        <w:jc w:val="center"/>
        <w:rPr>
          <w:rStyle w:val="s1"/>
          <w:rFonts w:ascii="Verdana" w:hAnsi="Verdana"/>
          <w:color w:val="auto"/>
          <w:sz w:val="24"/>
          <w:szCs w:val="24"/>
        </w:rPr>
      </w:pPr>
    </w:p>
    <w:p w:rsidR="0048599A" w:rsidRPr="007D206C" w:rsidRDefault="0048599A" w:rsidP="0048599A">
      <w:pPr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Раздел 4</w:t>
      </w:r>
      <w:r w:rsidRPr="007D206C">
        <w:rPr>
          <w:rFonts w:ascii="Verdana" w:hAnsi="Verdana"/>
          <w:sz w:val="24"/>
          <w:szCs w:val="24"/>
        </w:rPr>
        <w:t xml:space="preserve"> </w:t>
      </w:r>
    </w:p>
    <w:p w:rsidR="0048599A" w:rsidRPr="007D206C" w:rsidRDefault="0048599A" w:rsidP="0048599A">
      <w:pPr>
        <w:spacing w:after="240"/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Списки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Статья 12.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r w:rsidRPr="005302BC">
        <w:rPr>
          <w:rFonts w:ascii="Verdana" w:hAnsi="Verdana"/>
          <w:sz w:val="24"/>
          <w:szCs w:val="24"/>
          <w:highlight w:val="yellow"/>
          <w:u w:val="single"/>
        </w:rPr>
        <w:t>В список примирителей и список арбитров включаются квалифицированные лица</w:t>
      </w:r>
      <w:r w:rsidRPr="007D206C">
        <w:rPr>
          <w:rFonts w:ascii="Verdana" w:hAnsi="Verdana"/>
          <w:sz w:val="24"/>
          <w:szCs w:val="24"/>
        </w:rPr>
        <w:t>, назначенные в порядке, предусмотренном настоящей Конвенцией, и выразившие желание выполнять такие функции.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bookmarkStart w:id="1" w:name="SUB130000"/>
      <w:bookmarkStart w:id="2" w:name="SUB140000"/>
      <w:bookmarkEnd w:id="1"/>
      <w:bookmarkEnd w:id="2"/>
      <w:r w:rsidRPr="007D206C">
        <w:rPr>
          <w:rStyle w:val="s1"/>
          <w:rFonts w:ascii="Verdana" w:hAnsi="Verdana"/>
          <w:color w:val="auto"/>
          <w:sz w:val="24"/>
          <w:szCs w:val="24"/>
        </w:rPr>
        <w:t>Статья 14.</w:t>
      </w:r>
    </w:p>
    <w:p w:rsidR="0048599A" w:rsidRPr="00E040B8" w:rsidRDefault="0048599A" w:rsidP="0048599A">
      <w:pPr>
        <w:ind w:firstLine="400"/>
        <w:jc w:val="both"/>
        <w:rPr>
          <w:rFonts w:ascii="Verdana" w:hAnsi="Verdana"/>
          <w:sz w:val="24"/>
          <w:szCs w:val="24"/>
          <w:u w:val="single"/>
        </w:rPr>
      </w:pPr>
      <w:r w:rsidRPr="007D206C">
        <w:rPr>
          <w:rFonts w:ascii="Verdana" w:hAnsi="Verdana"/>
          <w:sz w:val="24"/>
          <w:szCs w:val="24"/>
        </w:rPr>
        <w:t xml:space="preserve">1. Лица, назначенные в списки, должны обладать высокими моральными качествами и признанной компетентностью в области права, торговли, промышленности или финансов, с </w:t>
      </w:r>
      <w:proofErr w:type="gramStart"/>
      <w:r w:rsidRPr="007D206C">
        <w:rPr>
          <w:rFonts w:ascii="Verdana" w:hAnsi="Verdana"/>
          <w:sz w:val="24"/>
          <w:szCs w:val="24"/>
        </w:rPr>
        <w:t>тем</w:t>
      </w:r>
      <w:proofErr w:type="gramEnd"/>
      <w:r w:rsidRPr="007D206C">
        <w:rPr>
          <w:rFonts w:ascii="Verdana" w:hAnsi="Verdana"/>
          <w:sz w:val="24"/>
          <w:szCs w:val="24"/>
        </w:rPr>
        <w:t xml:space="preserve"> чтобы от них можно было ожидать принятия независимых решений. </w:t>
      </w:r>
      <w:r w:rsidRPr="00E040B8">
        <w:rPr>
          <w:rFonts w:ascii="Verdana" w:hAnsi="Verdana"/>
          <w:sz w:val="24"/>
          <w:szCs w:val="24"/>
          <w:highlight w:val="yellow"/>
          <w:u w:val="single"/>
        </w:rPr>
        <w:t>В отношении лиц, включаемых в список арбитров, особое значение имеет компетентность в области права.</w:t>
      </w:r>
      <w:r w:rsidRPr="00E040B8">
        <w:rPr>
          <w:rFonts w:ascii="Verdana" w:hAnsi="Verdana"/>
          <w:sz w:val="24"/>
          <w:szCs w:val="24"/>
          <w:u w:val="single"/>
        </w:rPr>
        <w:t xml:space="preserve"> 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bookmarkStart w:id="3" w:name="SUB140200"/>
      <w:bookmarkEnd w:id="3"/>
      <w:r w:rsidRPr="007D206C">
        <w:rPr>
          <w:rFonts w:ascii="Verdana" w:hAnsi="Verdana"/>
          <w:sz w:val="24"/>
          <w:szCs w:val="24"/>
        </w:rPr>
        <w:t>2. Председатель при назначении лиц в списки должен также уделять надлежащее внимание обеспечению того, чтобы в этих списках были представлены основные правовые системы мира и основные формы экономической деятельности.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bookmarkStart w:id="4" w:name="SUB150000"/>
      <w:bookmarkEnd w:id="4"/>
      <w:r w:rsidRPr="007D206C">
        <w:rPr>
          <w:rStyle w:val="s1"/>
          <w:rFonts w:ascii="Verdana" w:hAnsi="Verdana"/>
          <w:color w:val="auto"/>
          <w:sz w:val="24"/>
          <w:szCs w:val="24"/>
        </w:rPr>
        <w:t>Статья 15.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Fonts w:ascii="Verdana" w:hAnsi="Verdana"/>
          <w:sz w:val="24"/>
          <w:szCs w:val="24"/>
        </w:rPr>
        <w:t xml:space="preserve">1. Лица, включенные в списки, выполняют свои обязанности в течение шестилетнего срока, который может возобновляться.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bookmarkStart w:id="5" w:name="SUB150200"/>
      <w:bookmarkEnd w:id="5"/>
      <w:r w:rsidRPr="007D206C">
        <w:rPr>
          <w:rFonts w:ascii="Verdana" w:hAnsi="Verdana"/>
          <w:sz w:val="24"/>
          <w:szCs w:val="24"/>
        </w:rPr>
        <w:t xml:space="preserve">2. В случае смерти или отставки лица, включенного в список, назначивший его вправе назначить другое лицо для выполнения обязанностей в течение оставшегося срока полномочий. 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bookmarkStart w:id="6" w:name="SUB150300"/>
      <w:bookmarkEnd w:id="6"/>
      <w:r w:rsidRPr="007D206C">
        <w:rPr>
          <w:rFonts w:ascii="Verdana" w:hAnsi="Verdana"/>
          <w:sz w:val="24"/>
          <w:szCs w:val="24"/>
        </w:rPr>
        <w:t>3. Лица, включенные в списки, выполняют свои обязанности до тех пор, пока не будут назначены их преемники.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bookmarkStart w:id="7" w:name="SUB160000"/>
      <w:bookmarkEnd w:id="7"/>
      <w:r w:rsidRPr="007D206C">
        <w:rPr>
          <w:rStyle w:val="s1"/>
          <w:rFonts w:ascii="Verdana" w:hAnsi="Verdana"/>
          <w:color w:val="auto"/>
          <w:sz w:val="24"/>
          <w:szCs w:val="24"/>
        </w:rPr>
        <w:t>Статья 16.</w:t>
      </w:r>
    </w:p>
    <w:p w:rsidR="0048599A" w:rsidRPr="005302BC" w:rsidRDefault="0048599A" w:rsidP="0048599A">
      <w:pPr>
        <w:ind w:firstLine="400"/>
        <w:jc w:val="both"/>
        <w:rPr>
          <w:rFonts w:ascii="Verdana" w:hAnsi="Verdana"/>
          <w:sz w:val="24"/>
          <w:szCs w:val="24"/>
          <w:u w:val="single"/>
        </w:rPr>
      </w:pPr>
      <w:r w:rsidRPr="007D206C">
        <w:rPr>
          <w:rFonts w:ascii="Verdana" w:hAnsi="Verdana"/>
          <w:sz w:val="24"/>
          <w:szCs w:val="24"/>
        </w:rPr>
        <w:t xml:space="preserve">1. </w:t>
      </w:r>
      <w:r w:rsidRPr="005302BC">
        <w:rPr>
          <w:rFonts w:ascii="Verdana" w:hAnsi="Verdana"/>
          <w:sz w:val="24"/>
          <w:szCs w:val="24"/>
          <w:highlight w:val="yellow"/>
          <w:u w:val="single"/>
        </w:rPr>
        <w:t>Одно и то же лицо может быть включено в оба списка.</w:t>
      </w:r>
      <w:r w:rsidRPr="005302BC">
        <w:rPr>
          <w:rFonts w:ascii="Verdana" w:hAnsi="Verdana"/>
          <w:sz w:val="24"/>
          <w:szCs w:val="24"/>
          <w:u w:val="single"/>
        </w:rPr>
        <w:t xml:space="preserve"> </w:t>
      </w:r>
    </w:p>
    <w:p w:rsidR="0048599A" w:rsidRPr="007D206C" w:rsidRDefault="0048599A" w:rsidP="0048599A">
      <w:pPr>
        <w:ind w:firstLine="400"/>
        <w:jc w:val="both"/>
        <w:rPr>
          <w:rFonts w:ascii="Verdana" w:hAnsi="Verdana"/>
          <w:sz w:val="24"/>
          <w:szCs w:val="24"/>
        </w:rPr>
      </w:pPr>
      <w:bookmarkStart w:id="8" w:name="SUB160200"/>
      <w:bookmarkEnd w:id="8"/>
      <w:r w:rsidRPr="007D206C">
        <w:rPr>
          <w:rFonts w:ascii="Verdana" w:hAnsi="Verdana"/>
          <w:sz w:val="24"/>
          <w:szCs w:val="24"/>
        </w:rPr>
        <w:lastRenderedPageBreak/>
        <w:t xml:space="preserve">2. </w:t>
      </w:r>
      <w:proofErr w:type="gramStart"/>
      <w:r w:rsidRPr="007D206C">
        <w:rPr>
          <w:rFonts w:ascii="Verdana" w:hAnsi="Verdana"/>
          <w:sz w:val="24"/>
          <w:szCs w:val="24"/>
        </w:rPr>
        <w:t xml:space="preserve">Если какое-либо лицо назначено в один и тот же список несколькими Договаривающимися Государствами, либо одним или несколькими Договаривающимися Государствами и Председателем, оно будет считаться назначенным тем, кто назначил его первым, или, если одним из тех, кто его назначил, будет государство, гражданином которого это лицо является, оно будет считаться назначенным этим государством. </w:t>
      </w:r>
      <w:proofErr w:type="gramEnd"/>
    </w:p>
    <w:p w:rsidR="0048599A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bookmarkStart w:id="9" w:name="SUB160300"/>
      <w:bookmarkEnd w:id="9"/>
      <w:r w:rsidRPr="007D206C">
        <w:rPr>
          <w:rFonts w:ascii="Verdana" w:hAnsi="Verdana"/>
          <w:sz w:val="24"/>
          <w:szCs w:val="24"/>
        </w:rPr>
        <w:t xml:space="preserve">3. </w:t>
      </w:r>
      <w:proofErr w:type="gramStart"/>
      <w:r w:rsidRPr="007D206C">
        <w:rPr>
          <w:rFonts w:ascii="Verdana" w:hAnsi="Verdana"/>
          <w:sz w:val="24"/>
          <w:szCs w:val="24"/>
        </w:rPr>
        <w:t>О</w:t>
      </w:r>
      <w:proofErr w:type="gramEnd"/>
      <w:r w:rsidRPr="007D206C">
        <w:rPr>
          <w:rFonts w:ascii="Verdana" w:hAnsi="Verdana"/>
          <w:sz w:val="24"/>
          <w:szCs w:val="24"/>
        </w:rPr>
        <w:t xml:space="preserve"> всех назначениях следует уведомлять Генерального секретаря, и они вступают в силу со дня получения им соответствующего уведомления.</w:t>
      </w:r>
    </w:p>
    <w:p w:rsidR="0048599A" w:rsidRPr="007D206C" w:rsidRDefault="0048599A" w:rsidP="0048599A">
      <w:pPr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Глава X</w:t>
      </w:r>
      <w:r w:rsidRPr="007D206C">
        <w:rPr>
          <w:rFonts w:ascii="Verdana" w:hAnsi="Verdana"/>
          <w:sz w:val="24"/>
          <w:szCs w:val="24"/>
        </w:rPr>
        <w:t xml:space="preserve"> </w:t>
      </w:r>
    </w:p>
    <w:p w:rsidR="0048599A" w:rsidRDefault="0048599A" w:rsidP="0048599A">
      <w:pPr>
        <w:spacing w:after="240"/>
        <w:jc w:val="center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Заключительные положения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r w:rsidRPr="007D206C">
        <w:rPr>
          <w:rStyle w:val="s1"/>
          <w:rFonts w:ascii="Verdana" w:hAnsi="Verdana"/>
          <w:color w:val="auto"/>
          <w:sz w:val="24"/>
          <w:szCs w:val="24"/>
        </w:rPr>
        <w:t>Статья 69.</w:t>
      </w:r>
    </w:p>
    <w:p w:rsidR="0048599A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  <w:r w:rsidRPr="00FD0799">
        <w:rPr>
          <w:rFonts w:ascii="Verdana" w:hAnsi="Verdana"/>
          <w:sz w:val="24"/>
          <w:szCs w:val="24"/>
          <w:highlight w:val="yellow"/>
        </w:rPr>
        <w:t>Каждое Договаривающееся Государство принимает такие законодательные или иные меры, которые могут быть необходимы для придания силы положениям настоящей Конвенции на его территории.</w:t>
      </w:r>
    </w:p>
    <w:p w:rsidR="0048599A" w:rsidRPr="007D206C" w:rsidRDefault="0048599A" w:rsidP="0048599A">
      <w:pPr>
        <w:spacing w:after="240"/>
        <w:ind w:firstLine="400"/>
        <w:jc w:val="both"/>
        <w:rPr>
          <w:rFonts w:ascii="Verdana" w:hAnsi="Verdana"/>
          <w:sz w:val="24"/>
          <w:szCs w:val="24"/>
        </w:rPr>
      </w:pPr>
    </w:p>
    <w:p w:rsidR="0048599A" w:rsidRPr="006945F7" w:rsidRDefault="0048599A" w:rsidP="0048599A">
      <w:pPr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  <w:r w:rsidRPr="006945F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ЮНСИТРАЛ</w:t>
      </w:r>
    </w:p>
    <w:p w:rsidR="0048599A" w:rsidRPr="006945F7" w:rsidRDefault="0048599A" w:rsidP="0048599A">
      <w:pPr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  <w:r w:rsidRPr="006945F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Типовой закон</w:t>
      </w:r>
      <w:r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 xml:space="preserve">  </w:t>
      </w:r>
      <w:r w:rsidRPr="006945F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о международной коммерческой</w:t>
      </w:r>
      <w:r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 xml:space="preserve">   </w:t>
      </w:r>
      <w:r w:rsidRPr="006945F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согласительной процедуре</w:t>
      </w:r>
      <w:r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 xml:space="preserve">  </w:t>
      </w:r>
      <w:r w:rsidRPr="006945F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и</w:t>
      </w:r>
    </w:p>
    <w:p w:rsidR="0048599A" w:rsidRPr="006945F7" w:rsidRDefault="0048599A" w:rsidP="0048599A">
      <w:pPr>
        <w:autoSpaceDE w:val="0"/>
        <w:autoSpaceDN w:val="0"/>
        <w:adjustRightInd w:val="0"/>
        <w:jc w:val="center"/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</w:pPr>
      <w:r w:rsidRPr="006945F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Руководство</w:t>
      </w:r>
      <w:r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 xml:space="preserve">   </w:t>
      </w:r>
      <w:r w:rsidRPr="006945F7"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</w:rPr>
        <w:t>по принятию и применению</w:t>
      </w:r>
    </w:p>
    <w:p w:rsidR="0048599A" w:rsidRPr="006945F7" w:rsidRDefault="0048599A" w:rsidP="0048599A">
      <w:pPr>
        <w:spacing w:after="240"/>
        <w:ind w:firstLine="400"/>
        <w:jc w:val="center"/>
        <w:rPr>
          <w:rFonts w:ascii="Verdana" w:hAnsi="Verdana"/>
          <w:sz w:val="24"/>
          <w:szCs w:val="24"/>
        </w:rPr>
      </w:pPr>
      <w:r w:rsidRPr="006945F7">
        <w:rPr>
          <w:rFonts w:ascii="TimesNewRoman,BoldItalic" w:hAnsi="TimesNewRoman,BoldItalic" w:cs="TimesNewRoman,BoldItalic"/>
          <w:b/>
          <w:bCs/>
          <w:i/>
          <w:iCs/>
          <w:sz w:val="24"/>
          <w:szCs w:val="24"/>
        </w:rPr>
        <w:t>2002 год</w:t>
      </w:r>
    </w:p>
    <w:p w:rsidR="0048599A" w:rsidRPr="00B2154C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iCs/>
          <w:sz w:val="24"/>
          <w:szCs w:val="24"/>
          <w:highlight w:val="yellow"/>
        </w:rPr>
      </w:pPr>
      <w:r w:rsidRPr="00B2154C">
        <w:rPr>
          <w:rFonts w:ascii="TimesNewRoman" w:hAnsi="TimesNewRoman" w:cs="TimesNewRoman"/>
          <w:i/>
          <w:iCs/>
          <w:sz w:val="24"/>
          <w:szCs w:val="24"/>
          <w:highlight w:val="yellow"/>
        </w:rPr>
        <w:t>Посредник</w:t>
      </w:r>
      <w:r w:rsidRPr="00B2154C">
        <w:rPr>
          <w:rFonts w:ascii="TimesNewRoman,Italic" w:hAnsi="TimesNewRoman,Italic" w:cs="TimesNewRoman,Italic"/>
          <w:i/>
          <w:iCs/>
          <w:sz w:val="24"/>
          <w:szCs w:val="24"/>
          <w:highlight w:val="yellow"/>
        </w:rPr>
        <w:t xml:space="preserve">, </w:t>
      </w:r>
      <w:r w:rsidRPr="00B2154C">
        <w:rPr>
          <w:rFonts w:ascii="TimesNewRoman" w:hAnsi="TimesNewRoman" w:cs="TimesNewRoman"/>
          <w:i/>
          <w:iCs/>
          <w:sz w:val="24"/>
          <w:szCs w:val="24"/>
          <w:highlight w:val="yellow"/>
        </w:rPr>
        <w:t>действующий в качестве представителя или</w:t>
      </w:r>
      <w:r>
        <w:rPr>
          <w:rFonts w:ascii="TimesNewRoman" w:hAnsi="TimesNewRoman" w:cs="TimesNewRoman"/>
          <w:i/>
          <w:iCs/>
          <w:sz w:val="24"/>
          <w:szCs w:val="24"/>
          <w:highlight w:val="yellow"/>
        </w:rPr>
        <w:t xml:space="preserve"> </w:t>
      </w:r>
      <w:r w:rsidRPr="00B2154C">
        <w:rPr>
          <w:rFonts w:ascii="TimesNewRoman" w:hAnsi="TimesNewRoman" w:cs="TimesNewRoman"/>
          <w:i/>
          <w:iCs/>
          <w:sz w:val="24"/>
          <w:szCs w:val="24"/>
          <w:highlight w:val="yellow"/>
        </w:rPr>
        <w:t>адвоката какой</w:t>
      </w:r>
      <w:r w:rsidRPr="00B2154C">
        <w:rPr>
          <w:rFonts w:ascii="TimesNewRoman,Italic" w:hAnsi="TimesNewRoman,Italic" w:cs="TimesNewRoman,Italic"/>
          <w:i/>
          <w:iCs/>
          <w:sz w:val="24"/>
          <w:szCs w:val="24"/>
          <w:highlight w:val="yellow"/>
        </w:rPr>
        <w:t>-</w:t>
      </w:r>
      <w:r w:rsidRPr="00B2154C">
        <w:rPr>
          <w:rFonts w:ascii="TimesNewRoman" w:hAnsi="TimesNewRoman" w:cs="TimesNewRoman"/>
          <w:i/>
          <w:iCs/>
          <w:sz w:val="24"/>
          <w:szCs w:val="24"/>
          <w:highlight w:val="yellow"/>
        </w:rPr>
        <w:t>либо стороны</w:t>
      </w:r>
    </w:p>
    <w:p w:rsidR="0048599A" w:rsidRPr="0048599A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highlight w:val="yellow"/>
        </w:rPr>
      </w:pPr>
      <w:r w:rsidRPr="00B2154C">
        <w:rPr>
          <w:rFonts w:ascii="TimesNewRoman" w:hAnsi="TimesNewRoman" w:cs="TimesNewRoman"/>
          <w:sz w:val="24"/>
          <w:szCs w:val="24"/>
          <w:highlight w:val="yellow"/>
        </w:rPr>
        <w:t xml:space="preserve">82. В первоначальном проекте также ограничивалась возможность   посредника выступать в качестве представителя или адвоката какой-либо   стороны, если только стороны не договорятся об ином. </w:t>
      </w:r>
      <w:proofErr w:type="gramStart"/>
      <w:r w:rsidRPr="00B2154C">
        <w:rPr>
          <w:rFonts w:ascii="TimesNewRoman" w:hAnsi="TimesNewRoman" w:cs="TimesNewRoman"/>
          <w:sz w:val="24"/>
          <w:szCs w:val="24"/>
          <w:highlight w:val="yellow"/>
        </w:rPr>
        <w:t>В то же</w:t>
      </w:r>
      <w:r w:rsidR="00826D52">
        <w:rPr>
          <w:rFonts w:ascii="TimesNewRoman" w:hAnsi="TimesNewRoman" w:cs="TimesNewRoman"/>
          <w:sz w:val="24"/>
          <w:szCs w:val="24"/>
          <w:highlight w:val="yellow"/>
        </w:rPr>
        <w:t xml:space="preserve">, </w:t>
      </w:r>
      <w:r w:rsidRPr="00B2154C">
        <w:rPr>
          <w:rFonts w:ascii="TimesNewRoman" w:hAnsi="TimesNewRoman" w:cs="TimesNewRoman"/>
          <w:sz w:val="24"/>
          <w:szCs w:val="24"/>
          <w:highlight w:val="yellow"/>
        </w:rPr>
        <w:t xml:space="preserve"> время</w:t>
      </w:r>
      <w:r>
        <w:rPr>
          <w:rFonts w:ascii="TimesNewRoman" w:hAnsi="TimesNewRoman" w:cs="TimesNewRoman"/>
          <w:sz w:val="24"/>
          <w:szCs w:val="24"/>
          <w:highlight w:val="yellow"/>
        </w:rPr>
        <w:t xml:space="preserve"> </w:t>
      </w:r>
      <w:r w:rsidRPr="00B2154C">
        <w:rPr>
          <w:rFonts w:ascii="TimesNewRoman" w:hAnsi="TimesNewRoman" w:cs="TimesNewRoman"/>
          <w:sz w:val="24"/>
          <w:szCs w:val="24"/>
          <w:highlight w:val="yellow"/>
        </w:rPr>
        <w:t>высказывалось мнение о том, что в некоторых правовых системах, даже    если стороны достигли договоренности о том, чтобы посредник действовал   в качестве представителя или адвоката какой-либо из сторон, такая</w:t>
      </w:r>
      <w:r>
        <w:rPr>
          <w:rFonts w:ascii="TimesNewRoman" w:hAnsi="TimesNewRoman" w:cs="TimesNewRoman"/>
          <w:sz w:val="24"/>
          <w:szCs w:val="24"/>
          <w:highlight w:val="yellow"/>
        </w:rPr>
        <w:t xml:space="preserve">  </w:t>
      </w:r>
      <w:r w:rsidRPr="00B2154C">
        <w:rPr>
          <w:rFonts w:ascii="TimesNewRoman" w:hAnsi="TimesNewRoman" w:cs="TimesNewRoman"/>
          <w:sz w:val="24"/>
          <w:szCs w:val="24"/>
          <w:highlight w:val="yellow"/>
        </w:rPr>
        <w:t>договоренность будет противоречить этическим принципам, которые   должны соблюдаться посредниками, и может также восприниматься как   причиняющая ущерб добросовестному характеру согласительной процедуры как метода урегулирования споров.</w:t>
      </w:r>
      <w:proofErr w:type="gramEnd"/>
      <w:r w:rsidRPr="00B2154C">
        <w:rPr>
          <w:rFonts w:ascii="TimesNewRoman" w:hAnsi="TimesNewRoman" w:cs="TimesNewRoman"/>
          <w:sz w:val="24"/>
          <w:szCs w:val="24"/>
          <w:highlight w:val="yellow"/>
        </w:rPr>
        <w:t xml:space="preserve"> </w:t>
      </w:r>
      <w:proofErr w:type="gramStart"/>
      <w:r w:rsidRPr="00B2154C">
        <w:rPr>
          <w:rFonts w:ascii="TimesNewRoman" w:hAnsi="TimesNewRoman" w:cs="TimesNewRoman"/>
          <w:sz w:val="24"/>
          <w:szCs w:val="24"/>
          <w:highlight w:val="yellow"/>
        </w:rPr>
        <w:t xml:space="preserve">Предложение об изменении   данного положения, с тем чтобы не оставлять этот вопрос для разрешения   на основании принципа автономии сторон, было отклонено на том основании, что оно подрывает принцип автономии сторон и не признает то   обстоятельство, что в тех правовых системах, в которых этические нормы  требуют, чтобы посредник не выступал в качестве представителя или  адвоката, посредник всегда будет </w:t>
      </w:r>
      <w:r w:rsidRPr="00B2154C">
        <w:rPr>
          <w:rFonts w:ascii="TimesNewRoman" w:hAnsi="TimesNewRoman" w:cs="TimesNewRoman"/>
          <w:sz w:val="24"/>
          <w:szCs w:val="24"/>
          <w:highlight w:val="yellow"/>
        </w:rPr>
        <w:lastRenderedPageBreak/>
        <w:t>иметь право отказаться</w:t>
      </w:r>
      <w:proofErr w:type="gramEnd"/>
      <w:r w:rsidRPr="00B2154C">
        <w:rPr>
          <w:rFonts w:ascii="TimesNewRoman" w:hAnsi="TimesNewRoman" w:cs="TimesNewRoman"/>
          <w:sz w:val="24"/>
          <w:szCs w:val="24"/>
          <w:highlight w:val="yellow"/>
        </w:rPr>
        <w:t xml:space="preserve"> действовать в   таком качестве. </w:t>
      </w:r>
      <w:proofErr w:type="gramStart"/>
      <w:r w:rsidRPr="00B2154C">
        <w:rPr>
          <w:rFonts w:ascii="TimesNewRoman" w:hAnsi="TimesNewRoman" w:cs="TimesNewRoman"/>
          <w:sz w:val="24"/>
          <w:szCs w:val="24"/>
          <w:highlight w:val="yellow"/>
        </w:rPr>
        <w:t>С учетом этого было решено, что данное положение   не должно затрагивать вопрос о том, может ли посредник выступать в   качестве представителя или адвоката любой из сторон (A/CN.9/506,</w:t>
      </w:r>
      <w:proofErr w:type="gramEnd"/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>пункты 117–118 и A/CN.9/514, пункт 74).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Справочные документы ЮНСИТРАЛ в связи со статьей 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>12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i/>
          <w:iCs/>
          <w:sz w:val="24"/>
          <w:szCs w:val="24"/>
        </w:rPr>
      </w:pPr>
      <w:r w:rsidRPr="00A12736">
        <w:rPr>
          <w:rFonts w:ascii="TimesNewRoman" w:hAnsi="TimesNewRoman" w:cs="TimesNewRoman"/>
          <w:i/>
          <w:iCs/>
          <w:sz w:val="24"/>
          <w:szCs w:val="24"/>
        </w:rPr>
        <w:t>Официальные отчеты Генеральной Ассамблеи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 xml:space="preserve">, </w:t>
      </w:r>
      <w:r w:rsidRPr="00A12736">
        <w:rPr>
          <w:rFonts w:ascii="TimesNewRoman" w:hAnsi="TimesNewRoman" w:cs="TimesNewRoman"/>
          <w:i/>
          <w:iCs/>
          <w:sz w:val="24"/>
          <w:szCs w:val="24"/>
        </w:rPr>
        <w:t>пятьдесят седьмая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A12736">
        <w:rPr>
          <w:rFonts w:ascii="TimesNewRoman" w:hAnsi="TimesNewRoman" w:cs="TimesNewRoman"/>
          <w:i/>
          <w:iCs/>
          <w:sz w:val="24"/>
          <w:szCs w:val="24"/>
        </w:rPr>
        <w:t>сессия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 xml:space="preserve">, </w:t>
      </w:r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Дополнение № 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 xml:space="preserve">17 </w:t>
      </w:r>
      <w:r w:rsidRPr="00A12736">
        <w:rPr>
          <w:rFonts w:ascii="TimesNewRoman" w:hAnsi="TimesNewRoman" w:cs="TimesNewRoman"/>
          <w:sz w:val="24"/>
          <w:szCs w:val="24"/>
        </w:rPr>
        <w:t>(А/57/17), пункты 106–110 и 170;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>A/CN.9/514, пункты 70–74;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>A/CN.9/WG.II/WP.110, сноска 30;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en-US"/>
        </w:rPr>
      </w:pPr>
      <w:r w:rsidRPr="00A12736">
        <w:rPr>
          <w:rFonts w:ascii="TimesNewRoman" w:hAnsi="TimesNewRoman" w:cs="TimesNewRoman"/>
          <w:sz w:val="24"/>
          <w:szCs w:val="24"/>
          <w:lang w:val="en-US"/>
        </w:rPr>
        <w:t xml:space="preserve">A/CN.9/WG.II/WP.108, </w:t>
      </w:r>
      <w:r w:rsidRPr="00A12736">
        <w:rPr>
          <w:rFonts w:ascii="TimesNewRoman" w:hAnsi="TimesNewRoman" w:cs="TimesNewRoman"/>
          <w:sz w:val="24"/>
          <w:szCs w:val="24"/>
        </w:rPr>
        <w:t>пункты</w:t>
      </w:r>
      <w:r w:rsidRPr="00A12736">
        <w:rPr>
          <w:rFonts w:ascii="TimesNewRoman" w:hAnsi="TimesNewRoman" w:cs="TimesNewRoman"/>
          <w:sz w:val="24"/>
          <w:szCs w:val="24"/>
          <w:lang w:val="en-US"/>
        </w:rPr>
        <w:t xml:space="preserve"> 29–33;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>A/CN.9/506, пункты 117–123 и 130;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>A/CN.9/WG.II/WP.115, примечания 36–41;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/>
          <w:bCs/>
          <w:sz w:val="24"/>
          <w:szCs w:val="24"/>
        </w:rPr>
      </w:pPr>
      <w:r w:rsidRPr="00A12736">
        <w:rPr>
          <w:rFonts w:ascii="TimesNewRoman,Bold" w:hAnsi="TimesNewRoman,Bold" w:cs="TimesNewRoman,Bold"/>
          <w:b/>
          <w:bCs/>
          <w:sz w:val="24"/>
          <w:szCs w:val="24"/>
        </w:rPr>
        <w:t>__________________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 xml:space="preserve">42См., например, </w:t>
      </w:r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Комментарии ЮНСИТРАЛ по организации </w:t>
      </w:r>
      <w:proofErr w:type="gramStart"/>
      <w:r w:rsidRPr="00A12736">
        <w:rPr>
          <w:rFonts w:ascii="TimesNewRoman" w:hAnsi="TimesNewRoman" w:cs="TimesNewRoman"/>
          <w:i/>
          <w:iCs/>
          <w:sz w:val="24"/>
          <w:szCs w:val="24"/>
        </w:rPr>
        <w:t>арбитражного</w:t>
      </w:r>
      <w:proofErr w:type="gramEnd"/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 </w:t>
      </w:r>
      <w:proofErr w:type="spellStart"/>
      <w:r w:rsidRPr="00A12736">
        <w:rPr>
          <w:rFonts w:ascii="TimesNewRoman" w:hAnsi="TimesNewRoman" w:cs="TimesNewRoman"/>
          <w:i/>
          <w:iCs/>
          <w:sz w:val="24"/>
          <w:szCs w:val="24"/>
        </w:rPr>
        <w:t>разби</w:t>
      </w:r>
      <w:proofErr w:type="spellEnd"/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>-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r w:rsidRPr="00A12736">
        <w:rPr>
          <w:rFonts w:ascii="TimesNewRoman" w:hAnsi="TimesNewRoman" w:cs="TimesNewRoman"/>
          <w:i/>
          <w:iCs/>
          <w:sz w:val="24"/>
          <w:szCs w:val="24"/>
        </w:rPr>
        <w:t>рательства</w:t>
      </w:r>
      <w:proofErr w:type="spellEnd"/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 </w:t>
      </w:r>
      <w:r w:rsidRPr="00A12736">
        <w:rPr>
          <w:rFonts w:ascii="TimesNewRoman" w:hAnsi="TimesNewRoman" w:cs="TimesNewRoman"/>
          <w:sz w:val="24"/>
          <w:szCs w:val="24"/>
        </w:rPr>
        <w:t>(Вена, Организация Объединенных Наций, 1996 год), пункт 47.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>43</w:t>
      </w:r>
      <w:r w:rsidRPr="00A12736">
        <w:rPr>
          <w:rFonts w:ascii="TimesNewRoman" w:hAnsi="TimesNewRoman" w:cs="TimesNewRoman"/>
          <w:i/>
          <w:iCs/>
          <w:sz w:val="24"/>
          <w:szCs w:val="24"/>
        </w:rPr>
        <w:t>Официальные отчеты Генеральной Ассамблеи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 xml:space="preserve">, </w:t>
      </w:r>
      <w:r w:rsidRPr="00A12736">
        <w:rPr>
          <w:rFonts w:ascii="TimesNewRoman" w:hAnsi="TimesNewRoman" w:cs="TimesNewRoman"/>
          <w:i/>
          <w:iCs/>
          <w:sz w:val="24"/>
          <w:szCs w:val="24"/>
        </w:rPr>
        <w:t>пятьдесят седьмая сессия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 xml:space="preserve">, </w:t>
      </w:r>
      <w:proofErr w:type="spellStart"/>
      <w:r w:rsidRPr="00A12736">
        <w:rPr>
          <w:rFonts w:ascii="TimesNewRoman" w:hAnsi="TimesNewRoman" w:cs="TimesNewRoman"/>
          <w:i/>
          <w:iCs/>
          <w:sz w:val="24"/>
          <w:szCs w:val="24"/>
        </w:rPr>
        <w:t>Допол</w:t>
      </w:r>
      <w:proofErr w:type="spellEnd"/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>-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r w:rsidRPr="00A12736">
        <w:rPr>
          <w:rFonts w:ascii="TimesNewRoman" w:hAnsi="TimesNewRoman" w:cs="TimesNewRoman"/>
          <w:i/>
          <w:iCs/>
          <w:sz w:val="24"/>
          <w:szCs w:val="24"/>
        </w:rPr>
        <w:t>нение</w:t>
      </w:r>
      <w:proofErr w:type="spellEnd"/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 № 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 xml:space="preserve">17 </w:t>
      </w:r>
      <w:r w:rsidRPr="00A12736">
        <w:rPr>
          <w:rFonts w:ascii="TimesNewRoman" w:hAnsi="TimesNewRoman" w:cs="TimesNewRoman"/>
          <w:sz w:val="24"/>
          <w:szCs w:val="24"/>
        </w:rPr>
        <w:t>(A/57/17), пункт 170.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Часть 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 xml:space="preserve">II: </w:t>
      </w:r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Руководство по принятию и </w:t>
      </w:r>
      <w:proofErr w:type="spellStart"/>
      <w:r w:rsidRPr="00A12736">
        <w:rPr>
          <w:rFonts w:ascii="TimesNewRoman" w:hAnsi="TimesNewRoman" w:cs="TimesNewRoman"/>
          <w:i/>
          <w:iCs/>
          <w:sz w:val="24"/>
          <w:szCs w:val="24"/>
        </w:rPr>
        <w:t>применениюТипового</w:t>
      </w:r>
      <w:proofErr w:type="spellEnd"/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 закона ЮНСИТРАЛ 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>57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en-US"/>
        </w:rPr>
      </w:pPr>
      <w:r w:rsidRPr="00A12736">
        <w:rPr>
          <w:rFonts w:ascii="TimesNewRoman" w:hAnsi="TimesNewRoman" w:cs="TimesNewRoman"/>
          <w:sz w:val="24"/>
          <w:szCs w:val="24"/>
          <w:lang w:val="en-US"/>
        </w:rPr>
        <w:t xml:space="preserve">A/CN.9/487, </w:t>
      </w:r>
      <w:r w:rsidRPr="00A12736">
        <w:rPr>
          <w:rFonts w:ascii="TimesNewRoman" w:hAnsi="TimesNewRoman" w:cs="TimesNewRoman"/>
          <w:sz w:val="24"/>
          <w:szCs w:val="24"/>
        </w:rPr>
        <w:t>пункты</w:t>
      </w:r>
      <w:r w:rsidRPr="00A12736">
        <w:rPr>
          <w:rFonts w:ascii="TimesNewRoman" w:hAnsi="TimesNewRoman" w:cs="TimesNewRoman"/>
          <w:sz w:val="24"/>
          <w:szCs w:val="24"/>
          <w:lang w:val="en-US"/>
        </w:rPr>
        <w:t xml:space="preserve"> 142–145;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  <w:lang w:val="en-US"/>
        </w:rPr>
      </w:pPr>
      <w:r w:rsidRPr="00A12736">
        <w:rPr>
          <w:rFonts w:ascii="TimesNewRoman" w:hAnsi="TimesNewRoman" w:cs="TimesNewRoman"/>
          <w:sz w:val="24"/>
          <w:szCs w:val="24"/>
          <w:lang w:val="en-US"/>
        </w:rPr>
        <w:t xml:space="preserve">A/CN.9/485, </w:t>
      </w:r>
      <w:r w:rsidRPr="00A12736">
        <w:rPr>
          <w:rFonts w:ascii="TimesNewRoman" w:hAnsi="TimesNewRoman" w:cs="TimesNewRoman"/>
          <w:sz w:val="24"/>
          <w:szCs w:val="24"/>
        </w:rPr>
        <w:t>пункты</w:t>
      </w:r>
      <w:r w:rsidRPr="00A12736">
        <w:rPr>
          <w:rFonts w:ascii="TimesNewRoman" w:hAnsi="TimesNewRoman" w:cs="TimesNewRoman"/>
          <w:sz w:val="24"/>
          <w:szCs w:val="24"/>
          <w:lang w:val="en-US"/>
        </w:rPr>
        <w:t xml:space="preserve"> 148–153;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r w:rsidRPr="00A12736">
        <w:rPr>
          <w:rFonts w:ascii="TimesNewRoman" w:hAnsi="TimesNewRoman" w:cs="TimesNewRoman"/>
          <w:sz w:val="24"/>
          <w:szCs w:val="24"/>
        </w:rPr>
        <w:t>A/CN.9/468, пункты 31–37;</w:t>
      </w:r>
    </w:p>
    <w:p w:rsidR="0048599A" w:rsidRPr="00A12736" w:rsidRDefault="0048599A" w:rsidP="0048599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4"/>
          <w:szCs w:val="24"/>
        </w:rPr>
      </w:pPr>
      <w:proofErr w:type="gramStart"/>
      <w:r w:rsidRPr="00A12736">
        <w:rPr>
          <w:rFonts w:ascii="TimesNewRoman" w:hAnsi="TimesNewRoman" w:cs="TimesNewRoman"/>
          <w:i/>
          <w:iCs/>
          <w:sz w:val="24"/>
          <w:szCs w:val="24"/>
        </w:rPr>
        <w:t xml:space="preserve">Согласительный регламент ЮНСИТРАЛ </w:t>
      </w:r>
      <w:r w:rsidRPr="00A12736">
        <w:rPr>
          <w:rFonts w:ascii="TimesNewRoman,Italic" w:hAnsi="TimesNewRoman,Italic" w:cs="TimesNewRoman,Italic"/>
          <w:i/>
          <w:iCs/>
          <w:sz w:val="24"/>
          <w:szCs w:val="24"/>
        </w:rPr>
        <w:t>(</w:t>
      </w:r>
      <w:r w:rsidRPr="00A12736">
        <w:rPr>
          <w:rFonts w:ascii="TimesNewRoman" w:hAnsi="TimesNewRoman" w:cs="TimesNewRoman"/>
          <w:sz w:val="24"/>
          <w:szCs w:val="24"/>
        </w:rPr>
        <w:t xml:space="preserve">издание Организации </w:t>
      </w:r>
      <w:proofErr w:type="spellStart"/>
      <w:r w:rsidRPr="00A12736">
        <w:rPr>
          <w:rFonts w:ascii="TimesNewRoman" w:hAnsi="TimesNewRoman" w:cs="TimesNewRoman"/>
          <w:sz w:val="24"/>
          <w:szCs w:val="24"/>
        </w:rPr>
        <w:t>Объ</w:t>
      </w:r>
      <w:proofErr w:type="spellEnd"/>
      <w:r w:rsidRPr="00A12736">
        <w:rPr>
          <w:rFonts w:ascii="TimesNewRoman" w:hAnsi="TimesNewRoman" w:cs="TimesNewRoman"/>
          <w:sz w:val="24"/>
          <w:szCs w:val="24"/>
        </w:rPr>
        <w:t>-</w:t>
      </w:r>
      <w:proofErr w:type="gramEnd"/>
    </w:p>
    <w:p w:rsidR="0048599A" w:rsidRDefault="0048599A" w:rsidP="0048599A">
      <w:pPr>
        <w:jc w:val="both"/>
        <w:rPr>
          <w:rFonts w:ascii="TimesNewRoman" w:hAnsi="TimesNewRoman" w:cs="TimesNewRoman"/>
          <w:sz w:val="24"/>
          <w:szCs w:val="24"/>
        </w:rPr>
      </w:pPr>
      <w:r w:rsidRPr="006945F7">
        <w:rPr>
          <w:rFonts w:ascii="TimesNewRoman" w:hAnsi="TimesNewRoman" w:cs="TimesNewRoman"/>
          <w:sz w:val="24"/>
          <w:szCs w:val="24"/>
        </w:rPr>
        <w:t>единенных Наций, в продаже под № R.81.V.6), статья 19__</w:t>
      </w:r>
    </w:p>
    <w:p w:rsidR="0048599A" w:rsidRDefault="0048599A" w:rsidP="0048599A">
      <w:pPr>
        <w:jc w:val="both"/>
        <w:rPr>
          <w:rStyle w:val="s1"/>
          <w:i/>
        </w:rPr>
      </w:pPr>
    </w:p>
    <w:p w:rsidR="0048599A" w:rsidRDefault="0048599A" w:rsidP="0048599A">
      <w:pPr>
        <w:jc w:val="both"/>
        <w:rPr>
          <w:rStyle w:val="s1"/>
          <w:i/>
        </w:rPr>
      </w:pPr>
    </w:p>
    <w:p w:rsidR="0048599A" w:rsidRDefault="0048599A" w:rsidP="0048599A">
      <w:pPr>
        <w:jc w:val="both"/>
        <w:rPr>
          <w:rStyle w:val="s1"/>
          <w:i/>
        </w:rPr>
      </w:pPr>
    </w:p>
    <w:p w:rsidR="0048599A" w:rsidRDefault="0048599A" w:rsidP="0048599A">
      <w:pPr>
        <w:jc w:val="both"/>
        <w:rPr>
          <w:rStyle w:val="s1"/>
          <w:i/>
        </w:rPr>
      </w:pPr>
    </w:p>
    <w:p w:rsidR="0048599A" w:rsidRDefault="0048599A" w:rsidP="0048599A">
      <w:pPr>
        <w:jc w:val="both"/>
        <w:rPr>
          <w:rStyle w:val="s1"/>
          <w:i/>
        </w:rPr>
      </w:pPr>
    </w:p>
    <w:p w:rsidR="0048599A" w:rsidRDefault="0048599A" w:rsidP="0048599A">
      <w:pPr>
        <w:jc w:val="both"/>
        <w:rPr>
          <w:rStyle w:val="s1"/>
          <w:i/>
        </w:rPr>
      </w:pPr>
    </w:p>
    <w:p w:rsidR="0048599A" w:rsidRDefault="0048599A" w:rsidP="0048599A">
      <w:pPr>
        <w:jc w:val="both"/>
        <w:rPr>
          <w:b/>
        </w:rPr>
      </w:pPr>
      <w:r>
        <w:rPr>
          <w:rStyle w:val="s1"/>
          <w:i/>
        </w:rPr>
        <w:lastRenderedPageBreak/>
        <w:t>Обоснование:</w:t>
      </w:r>
      <w:r>
        <w:rPr>
          <w:rStyle w:val="s1"/>
        </w:rPr>
        <w:t>  пп.4,5,6,7,8  ст.9 Закона РК  «О медиации»</w:t>
      </w:r>
      <w:r>
        <w:t xml:space="preserve">  «</w:t>
      </w:r>
      <w:r>
        <w:rPr>
          <w:rStyle w:val="s1"/>
        </w:rPr>
        <w:t>Требования, предъявляемые к медиаторам</w:t>
      </w:r>
    </w:p>
    <w:p w:rsidR="0048599A" w:rsidRDefault="0048599A" w:rsidP="0048599A">
      <w:pPr>
        <w:ind w:firstLine="400"/>
        <w:jc w:val="both"/>
      </w:pPr>
      <w:bookmarkStart w:id="10" w:name="SUB90400"/>
      <w:bookmarkEnd w:id="10"/>
      <w:r>
        <w:rPr>
          <w:rStyle w:val="s0"/>
        </w:rPr>
        <w:t xml:space="preserve">4. Осуществлять деятельность медиатора на профессиональной основе могут лица, имеющие высшее образование, достигшие двадцатипятилетнего возраста, имеющие документ (сертификат), подтверждающий прохождение </w:t>
      </w:r>
      <w:proofErr w:type="gramStart"/>
      <w:r>
        <w:rPr>
          <w:rStyle w:val="s0"/>
        </w:rPr>
        <w:t>обучения по программе</w:t>
      </w:r>
      <w:proofErr w:type="gramEnd"/>
      <w:r>
        <w:rPr>
          <w:rStyle w:val="s0"/>
        </w:rPr>
        <w:t xml:space="preserve"> подготовки медиаторов, утверждаемой в </w:t>
      </w:r>
      <w:hyperlink r:id="rId4" w:history="1">
        <w:r>
          <w:rPr>
            <w:rStyle w:val="a3"/>
          </w:rPr>
          <w:t>порядке</w:t>
        </w:r>
      </w:hyperlink>
      <w:r>
        <w:rPr>
          <w:rStyle w:val="s0"/>
        </w:rPr>
        <w:t>, определяемом Правительством Республики Казахстан, и состоящие в реестре профессиональных медиаторов.</w:t>
      </w:r>
    </w:p>
    <w:p w:rsidR="0048599A" w:rsidRDefault="0048599A" w:rsidP="0048599A">
      <w:pPr>
        <w:ind w:firstLine="400"/>
        <w:jc w:val="both"/>
      </w:pPr>
      <w:bookmarkStart w:id="11" w:name="SUB90500"/>
      <w:bookmarkEnd w:id="11"/>
      <w:r>
        <w:rPr>
          <w:rStyle w:val="s0"/>
        </w:rPr>
        <w:t>5. Деятельность медиатора не является предпринимательской деятельностью.</w:t>
      </w:r>
    </w:p>
    <w:p w:rsidR="0048599A" w:rsidRDefault="0048599A" w:rsidP="0048599A">
      <w:pPr>
        <w:ind w:firstLine="400"/>
        <w:jc w:val="both"/>
      </w:pPr>
      <w:bookmarkStart w:id="12" w:name="SUB90600"/>
      <w:bookmarkEnd w:id="12"/>
      <w:r>
        <w:rPr>
          <w:rStyle w:val="s0"/>
        </w:rPr>
        <w:t>6. Лица, осуществляющие деятельность медиатора, вправе также осуществлять любую иную деятельность, не запрещенную законодательством Республики Казахстан.</w:t>
      </w:r>
    </w:p>
    <w:p w:rsidR="0048599A" w:rsidRDefault="0048599A" w:rsidP="0048599A">
      <w:pPr>
        <w:ind w:firstLine="400"/>
        <w:jc w:val="both"/>
      </w:pPr>
      <w:bookmarkStart w:id="13" w:name="SUB90700"/>
      <w:bookmarkEnd w:id="13"/>
      <w:r>
        <w:rPr>
          <w:rStyle w:val="s0"/>
        </w:rPr>
        <w:t>7. Медиатором не может быть лицо:</w:t>
      </w:r>
    </w:p>
    <w:p w:rsidR="0048599A" w:rsidRDefault="0048599A" w:rsidP="0048599A">
      <w:pPr>
        <w:ind w:firstLine="400"/>
        <w:jc w:val="both"/>
      </w:pPr>
      <w:bookmarkStart w:id="14" w:name="SUB90701"/>
      <w:bookmarkEnd w:id="14"/>
      <w:proofErr w:type="gramStart"/>
      <w:r>
        <w:rPr>
          <w:rStyle w:val="s0"/>
        </w:rPr>
        <w:t>1) уполномоченное на выполнение государственных функций и приравненное к нему;</w:t>
      </w:r>
      <w:proofErr w:type="gramEnd"/>
    </w:p>
    <w:p w:rsidR="0048599A" w:rsidRDefault="0048599A" w:rsidP="0048599A">
      <w:pPr>
        <w:ind w:firstLine="400"/>
        <w:jc w:val="both"/>
      </w:pPr>
      <w:bookmarkStart w:id="15" w:name="SUB90702"/>
      <w:bookmarkEnd w:id="15"/>
      <w:r>
        <w:rPr>
          <w:rStyle w:val="s0"/>
        </w:rPr>
        <w:t xml:space="preserve">2) </w:t>
      </w:r>
      <w:proofErr w:type="gramStart"/>
      <w:r>
        <w:rPr>
          <w:rStyle w:val="s0"/>
        </w:rPr>
        <w:t>признанное</w:t>
      </w:r>
      <w:proofErr w:type="gramEnd"/>
      <w:r>
        <w:rPr>
          <w:rStyle w:val="s0"/>
        </w:rPr>
        <w:t xml:space="preserve"> судом в установленном законом порядке недееспособным или ограниченно дееспособным;</w:t>
      </w:r>
    </w:p>
    <w:p w:rsidR="0048599A" w:rsidRDefault="0048599A" w:rsidP="0048599A">
      <w:pPr>
        <w:ind w:firstLine="400"/>
        <w:jc w:val="both"/>
      </w:pPr>
      <w:bookmarkStart w:id="16" w:name="SUB90703"/>
      <w:bookmarkEnd w:id="16"/>
      <w:r>
        <w:rPr>
          <w:rStyle w:val="s0"/>
        </w:rPr>
        <w:t xml:space="preserve">3) в </w:t>
      </w:r>
      <w:proofErr w:type="gramStart"/>
      <w:r>
        <w:rPr>
          <w:rStyle w:val="s0"/>
        </w:rPr>
        <w:t>отношении</w:t>
      </w:r>
      <w:proofErr w:type="gramEnd"/>
      <w:r>
        <w:rPr>
          <w:rStyle w:val="s0"/>
        </w:rPr>
        <w:t xml:space="preserve"> которого осуществляется уголовное преследование;</w:t>
      </w:r>
    </w:p>
    <w:p w:rsidR="0048599A" w:rsidRDefault="0048599A" w:rsidP="0048599A">
      <w:pPr>
        <w:ind w:firstLine="400"/>
        <w:jc w:val="both"/>
      </w:pPr>
      <w:bookmarkStart w:id="17" w:name="SUB90704"/>
      <w:bookmarkEnd w:id="17"/>
      <w:r>
        <w:rPr>
          <w:rStyle w:val="s0"/>
        </w:rPr>
        <w:t xml:space="preserve">4) </w:t>
      </w:r>
      <w:proofErr w:type="gramStart"/>
      <w:r>
        <w:rPr>
          <w:rStyle w:val="s0"/>
        </w:rPr>
        <w:t>имеющее</w:t>
      </w:r>
      <w:proofErr w:type="gramEnd"/>
      <w:r>
        <w:rPr>
          <w:rStyle w:val="s0"/>
        </w:rPr>
        <w:t xml:space="preserve"> не погашенную или не снятую в установленном законом порядке судимость.</w:t>
      </w:r>
    </w:p>
    <w:p w:rsidR="0048599A" w:rsidRDefault="0048599A" w:rsidP="0048599A">
      <w:pPr>
        <w:ind w:firstLine="400"/>
        <w:jc w:val="both"/>
      </w:pPr>
      <w:bookmarkStart w:id="18" w:name="SUB90800"/>
      <w:bookmarkEnd w:id="18"/>
      <w:r>
        <w:rPr>
          <w:rStyle w:val="s0"/>
        </w:rPr>
        <w:t>8. Соглашением сторон медиации могут быть установлены дополнительные требования к медиатору.</w:t>
      </w:r>
    </w:p>
    <w:p w:rsidR="000E4A4B" w:rsidRDefault="000E4A4B"/>
    <w:p w:rsidR="00B03FCD" w:rsidRDefault="00B03FCD" w:rsidP="00B03FCD">
      <w:pPr>
        <w:pStyle w:val="a4"/>
        <w:jc w:val="center"/>
      </w:pPr>
      <w:r>
        <w:rPr>
          <w:color w:val="333333"/>
        </w:rPr>
        <w:t>МЕЖДУНАРОДНАЯ ТОРГОВАЯ ПАЛАТА</w:t>
      </w:r>
    </w:p>
    <w:p w:rsidR="00B03FCD" w:rsidRDefault="00B03FCD" w:rsidP="00B03FCD">
      <w:pPr>
        <w:pStyle w:val="a4"/>
        <w:jc w:val="center"/>
      </w:pPr>
      <w:r>
        <w:rPr>
          <w:color w:val="FF6600"/>
        </w:rPr>
        <w:t>ДОБРОВОЛЬНЫЙ ПРИМИРИТЕЛЬНЫЙ РЕГЛАМЕНТ</w:t>
      </w:r>
    </w:p>
    <w:p w:rsidR="00B03FCD" w:rsidRDefault="00B03FCD" w:rsidP="00B03FCD">
      <w:pPr>
        <w:pStyle w:val="a4"/>
        <w:jc w:val="center"/>
      </w:pPr>
      <w:r>
        <w:rPr>
          <w:color w:val="333333"/>
        </w:rPr>
        <w:t>(Публикация МТП N 447)</w:t>
      </w:r>
    </w:p>
    <w:p w:rsidR="00B03FCD" w:rsidRDefault="00B03FCD" w:rsidP="00B03FCD">
      <w:pPr>
        <w:pStyle w:val="a4"/>
        <w:jc w:val="both"/>
      </w:pPr>
      <w:r>
        <w:t> </w:t>
      </w:r>
    </w:p>
    <w:p w:rsidR="00B03FCD" w:rsidRDefault="00B03FCD" w:rsidP="00B03FCD">
      <w:pPr>
        <w:pStyle w:val="a4"/>
        <w:jc w:val="both"/>
      </w:pPr>
      <w:r>
        <w:rPr>
          <w:color w:val="333333"/>
        </w:rPr>
        <w:t>Преамбула</w:t>
      </w:r>
    </w:p>
    <w:p w:rsidR="00B03FCD" w:rsidRDefault="00B03FCD" w:rsidP="00B03FCD">
      <w:pPr>
        <w:pStyle w:val="a4"/>
        <w:jc w:val="both"/>
      </w:pPr>
      <w:r>
        <w:rPr>
          <w:color w:val="333333"/>
        </w:rPr>
        <w:t>Урегулирование коммерческих споров, имеющих международный характер, является желательным решением.</w:t>
      </w:r>
    </w:p>
    <w:p w:rsidR="00B03FCD" w:rsidRDefault="00B03FCD" w:rsidP="00B03FCD">
      <w:pPr>
        <w:pStyle w:val="a4"/>
        <w:jc w:val="both"/>
      </w:pPr>
      <w:r>
        <w:rPr>
          <w:color w:val="333333"/>
        </w:rPr>
        <w:t>Международная торговая палата предлагает настоящий Примирительный регламент для облегчения разрешения таких споров дружеским путем.</w:t>
      </w:r>
    </w:p>
    <w:p w:rsidR="00B03FCD" w:rsidRDefault="00B03FCD" w:rsidP="00B03FCD">
      <w:pPr>
        <w:pStyle w:val="a4"/>
        <w:jc w:val="both"/>
      </w:pPr>
      <w:r>
        <w:rPr>
          <w:color w:val="333333"/>
        </w:rPr>
        <w:t>Статья 10</w:t>
      </w:r>
    </w:p>
    <w:p w:rsidR="00B03FCD" w:rsidRDefault="00B03FCD" w:rsidP="00B03FCD">
      <w:pPr>
        <w:pStyle w:val="a4"/>
        <w:jc w:val="both"/>
      </w:pPr>
      <w:r>
        <w:rPr>
          <w:color w:val="333333"/>
        </w:rPr>
        <w:t>Если стороны не договорились об ином, посредник не должен выполнять функции арбитра, представителя или советника стороны в любой судебной или арбитражной процедурах, относящихся к спору, который был предметом примирительной процедуры.</w:t>
      </w:r>
    </w:p>
    <w:p w:rsidR="00B03FCD" w:rsidRDefault="00B03FCD" w:rsidP="00B03FCD">
      <w:pPr>
        <w:pStyle w:val="a4"/>
        <w:jc w:val="both"/>
      </w:pPr>
      <w:r>
        <w:rPr>
          <w:color w:val="333333"/>
        </w:rPr>
        <w:t>Стороны обоюдно обязуются не вызывать посредника в качестве свидетеля в суд или арбитраж, если они не договорились об ином.</w:t>
      </w:r>
    </w:p>
    <w:p w:rsidR="00B03FCD" w:rsidRDefault="00B03FCD"/>
    <w:sectPr w:rsidR="00B03FCD" w:rsidSect="000E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8599A"/>
    <w:rsid w:val="000E4A4B"/>
    <w:rsid w:val="0048599A"/>
    <w:rsid w:val="004F4141"/>
    <w:rsid w:val="00826D52"/>
    <w:rsid w:val="00A72D9A"/>
    <w:rsid w:val="00B0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8599A"/>
    <w:rPr>
      <w:color w:val="333399"/>
      <w:u w:val="single"/>
    </w:rPr>
  </w:style>
  <w:style w:type="character" w:customStyle="1" w:styleId="s0">
    <w:name w:val="s0"/>
    <w:basedOn w:val="a0"/>
    <w:rsid w:val="0048599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48599A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48599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03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link_id=1001972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Балгуль</dc:creator>
  <cp:lastModifiedBy>Балгуль</cp:lastModifiedBy>
  <cp:revision>3</cp:revision>
  <dcterms:created xsi:type="dcterms:W3CDTF">2014-05-14T12:40:00Z</dcterms:created>
  <dcterms:modified xsi:type="dcterms:W3CDTF">2014-05-14T13:34:00Z</dcterms:modified>
</cp:coreProperties>
</file>